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47" w:rsidRDefault="00A86FDB" w:rsidP="00A86FDB">
      <w:pPr>
        <w:widowControl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cs="宋体" w:hint="eastAsia"/>
          <w:kern w:val="0"/>
          <w:sz w:val="24"/>
        </w:rPr>
        <w:t>附件一：采购货物一览表</w:t>
      </w:r>
    </w:p>
    <w:tbl>
      <w:tblPr>
        <w:tblW w:w="8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6"/>
        <w:gridCol w:w="3234"/>
        <w:gridCol w:w="1378"/>
        <w:gridCol w:w="859"/>
        <w:gridCol w:w="2329"/>
      </w:tblGrid>
      <w:tr w:rsidR="009C4047">
        <w:trPr>
          <w:trHeight w:val="4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  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 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 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C4047">
        <w:trPr>
          <w:trHeight w:val="11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甲醇中28种VOC混标（GB/T5760.8-2006 附录A）溶液标准品,1ml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甲醇中氯乙烯标准物质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11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甲醇中邻苯二甲酸二(2-乙基己基)酯-DEHP标准溶液,有证书,2ml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乙醇中环氧氯丙烷标准溶液,有证书,1.2mL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乙醇中灭草松溶液标准物质-苯达松溶液,有证书,1.2mL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甲醇中2,4-D溶液标准物质,有证书,1.2mL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二氯乙酸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3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三氯乙酸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叔丁基甲醚中1，2-二溴丙烷标准溶液，有证书,2mL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水中草甘膦溶液标准物质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甲醇中2,4,6-三氯酚标准溶液,有证书,1mL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甲醇中五氯酚溶液标准样品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异丙醇中2，4-二溴苯酚标准溶液，有证书,2mL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正己烷中溴氰菊酯溶液标准样品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丙酮中甲基对硫磷溶液标准样品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丙酮中马拉硫磷溶液标准样品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丙酮中对硫磷溶液标准样品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丙酮中乐果溶液标准样品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丙酮中敌敌畏溶液标准样品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丙酮中毒死蜱溶液标准样品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正己烷中百菌清溶液标准样品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正己烷中七氯溶液标准样品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正己烷中六氯苯溶液标准样品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甲醇中4-溴氟苯标准品，1mL，100ug/mL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乙酸乙酯中2,3-二溴丙酰胺标准溶液,有证书,2mL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二硫化碳中苯溶液标准物质（1000μg/mL）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甲醇中氟化苯溶液标准品-氟苯,有证书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三氯甲烷、四氯化碳混合溶液标准物质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正己烷中8种有机氯标准品混标,有证书,1.2ml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α-666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β-666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γ-666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δ-666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P,P’–DDE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O,P’–DDT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P,P’-DDD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P,P’-DDT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菲d10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氧乐果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甲拌磷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甲拌磷砜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甲拌磷亚砜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毒死蜱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水胺硫磷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三唑磷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灭线磷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乙酰甲胺磷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甲胺磷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α-硫丹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β-硫丹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硫丹硫酸酯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五氯硝基苯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百菌清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顺式环氧七氯（内标）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环氧七氯B（内标）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福美双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水质浊度标准物质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水质浊度标样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色度溶液标准物质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铂钴色度标准溶液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水质pH（标样）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水质PH（标样）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邻苯二甲酸氢钾pH标准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水中高锰酸盐指数(COD 锰法)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水质高锰酸盐指数(COD 锰法)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水中高锰酸盐指数标准物质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水质总硬度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总硬度（标样）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水中总硬度溶液标准物质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草酸钠容量分析用标准溶液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乙二胺四乙酸二钠容量分析用标准溶液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水中氨氮溶液标准物质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水质氨氮（标样）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六价铬单元素溶液标准物质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水中氰成分分析标准物质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水中氰化物标准物质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水质总氰化物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阴离子表面活性剂溶液标准物质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苯酚溶液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水中挥发酚成分分析标准物质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标样-挥发酚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硫化物标准溶液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水质硫化物（标样）S2-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水中亚硝酸盐氮-标样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6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偏硅酸溶液标准物质（H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SiO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水中二氧化硅成分分析标准物质(SiO2计)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电导率标准溶液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水中甲醛溶液标准物质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水质甲醛（标样）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水质氯酸盐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水质亚氯酸盐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水质氯酸盐（标样）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水质亚氯酸盐（标样）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尿素纯度标准物质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水质标样-氟化物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水质标样-氯化物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水质标样-氯化物,有证书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水质标样-硫酸盐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水质标样-硝酸盐（以氮计）,有证书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6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水中氯成分分析标准物质(Cl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计)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水质铝标准样品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哈希福尔马肼储备溶液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哈希校准套件StablCal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氯化物标准溶液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硝酸盐氮标准溶液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硫酸盐标准溶液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MERCK德国默克纳氏试剂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047" w:rsidRDefault="00A86FD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4-氨基安替吡啉（4-AAP）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米吐尔（对甲氨基酚硫酸盐）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十二水合硫酸铁铵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11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3,3,5,5-四甲基联苯胺指示剂溶液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500mL/瓶，1年效期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浓氨水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047" w:rsidRDefault="00A86FD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浓硫酸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047" w:rsidRDefault="00A86FD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047" w:rsidRDefault="00A86FD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氢氧化钾（优级纯）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氯化钠（优级纯）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无水硫酸镁（500g/瓶）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甲醇中氨基甲酸酯混液质校准用甲醇水中利血平标准物质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11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47" w:rsidRDefault="00A86FD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乙腈中16种多环芳烃混标（适用于HJ478-2009，HJ647-2013) 200ug/mL,1mL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47" w:rsidRDefault="00A86FD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47" w:rsidRDefault="009C404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水中微量元素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溴酸盐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碳酸钠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碳酸氢钠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汞单元素溶液标准物质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碳酸钠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500g/瓶，优级纯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碳酸氢钠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500g/瓶，优级纯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纳氏试剂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4-氨基安替吡啉（4-AAP）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米吐尔（对甲氨基酚硫酸盐）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100g/瓶，分析纯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十二水合硫酸铁铵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500g/瓶，分析纯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3,3,5,5-四甲基联苯胺指示剂溶液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500mL/瓶，1年效期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浓氨水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500mL/瓶，AR分析纯以上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浓硫酸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500mL/瓶，AR分析纯以上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500mL/瓶，AR分析纯以上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氢氧化钾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500g/瓶，优级纯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硼氢化钾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100g/瓶，分析纯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11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硝酸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水质浊度标样GSB07-1377-2001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0.1-40NTU 间均可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色度溶液标准物质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GBW(E)081630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500度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铂钴色度标准溶液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BWJ4162-2016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5.0Hazen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水质PH（标样）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BWZ6804-2016C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7.20（25℃）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水中高锰酸盐指数(COD 锰法)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BW20004-30-W-20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30.0mg/L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水质高锰酸盐指数(COD 锰法)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GSB07-3162-2014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1-4mg/L标准值即可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水质总硬度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GSB07-3163-2014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2.81mmol/L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乙二胺四乙酸二钠容量分析用标准溶液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174BW20021-0.1-W-517500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0.1000176mol/L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水质氨氮（标样）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GSB07-3164-2014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1.30 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水质总氰化物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GSB07-3170-2014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不同标准值均可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BY400050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不同标准值均可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GSB07-1197-2000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0.05-0.5mg/L间均可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水质阴离子表面活性剂（标样）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BWZ6673-2016A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4.0μg/mL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苯酚溶液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GSB07-1281-2000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 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水中挥发酚成分分析标准物质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GBW(E)080376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GSB07-3180-2014-1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30.5ug/L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GSB07-3180-2014-2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63.2ug/L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水质挥发酚184（标样）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GSB07-3180-1852014-3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0.120mg/L186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6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偏硅酸溶液标准物质（H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SiO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BWZ6598-2016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6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1000ug/mL（H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SiO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GBW(E)130107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1409μS/cm(25℃)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氯化钾电导率溶液标准物质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GBW(E)130199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147.6μS/cm(25℃)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电导率标准溶液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BWZ6537-2016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10.0μS/cm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水中甲醛溶液标准物质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GBW(E)082266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水质甲醛（标样）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GSB07-1179-2000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0.748mg/L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尿素纯度标准物质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2g/瓶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GBW09201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99.90%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4-氨基安替吡啉（4-AAP）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货号33528-25G-R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米吐尔（对甲氨基酚硫酸盐）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分析纯以上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十二水合硫酸铁铵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分析纯以上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3,3,5,5-四甲基联苯胺指示剂溶液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500mL/瓶，1年效期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执行标准GB/T5750.11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浓氨水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AR分析纯以上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浓硫酸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AR分析纯以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上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AR分析纯以上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甲醇中全氟辛酸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3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13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C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4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-全氟正辛酸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甲醇中全氟辛烷磺酸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3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Style w:val="font11"/>
                <w:sz w:val="21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1,2,3,4-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13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C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4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-PFOS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34.4ug/L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54.9ug/L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93.1ug/L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0.15mg/L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0.25mg/L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水质六价铬（标样）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GSB07-3174-2014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邻苯二甲酸氢钾pH标准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GBW(E)130070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4.00(25℃)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水中氨氮溶液标准物质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GBW(E)080220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 ug/mL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六价铬单元素溶液标准物质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GBW(E)080257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 ug/mL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阴离子表面活性剂溶液标准物质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GBW(E)081639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 ug/mL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水中二氧化硅成分分析标准物质(SiO2计)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80mL/瓶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GBW(E)080272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 ug/mL(SiO2计)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水质氯酸盐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BY400142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0.778mg/L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水质亚氯酸盐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BY400130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0.760mg/L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二苯碳酰二肼（二苯氨基脲）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AR25g/瓶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氢氧化钾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硼氢化钾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硝酸（默克）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2.5L/瓶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β-葡萄糖苷酸酶/芳基硫酸酯酶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盐酸克伦特罗 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盐酸克伦特罗-D9 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10mg/瓶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莱克多巴胺盐酸盐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氘代莱克多巴胺(d6)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沙丁胺醇 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沙丁胺醇-d3 (3hydroxymethyl-d2; α-d1)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硫酸特布他林/特布他林半硫酸盐 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甲醇中甲拌磷亚砜溶液标准物质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丙酮中甲拌磷砜溶液标准物质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丙酮中甲拌磷溶液标准物质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甲醇中克百威(呋喃丹)溶液标准物质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甲醇中三羟基克百威溶液标准物质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甲醇中涕灭威砜溶液标准物质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甲醇中涕灭威溶液标准物质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甲醇中涕灭威亚砜溶液标准物质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甲醇中阿维菌素溶液标准物质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甲醇中灭蝇胺溶液标准物质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灭蝇胺-13C3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10mg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丙酮中腐霉利（速克灵）溶液标准物质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甲醇中苯醚甲环唑溶液标准物质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甲醇中吡唑醚菌酯（百克敏）溶液标准物质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丙酮中烯酰吗啉溶液标准物质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甲醇中嘧霉胺溶液标准物质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甲醇中精甲霜灵溶液标准物质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甲醇中多菌灵溶液标准物质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甲醇中三唑酮溶液标准物质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甲醇中丙环唑溶液标准物质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甲醇中戊唑醇溶液标准物质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甲醇中恶霜灵溶液标准物质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丙酮中腈菌唑溶液标准物质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甲醇中丙烯酰胺标准品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丙烯酰胺-13C3同位素内标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1.0mL/支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α-茄碱标准品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1mg/支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阿斯巴甜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阿力甜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甜蜜素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新红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胭脂红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赤藓红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诱惑红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靛蓝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柠檬黄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0.500mg/mL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苋菜红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0.500mg/mL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日落黄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0.500mg/mL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亮蓝溶液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0.500mg/mL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丙酮中莠去津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甲醇中克百威溶液标准物质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氨甲基膦酸(草甘膦同分异构体)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甲醇中微囊藻毒素-LR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8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黄曲霉毒素B1，B2，G1，G2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B1和G1各1μg/mL，B2和G2各3μg/mL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安赛蜜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0.5mg/ml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甲醇中萘溶液标准品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苯甲酸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山梨酸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糖精钠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甲醇中咖啡因溶液标准物质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甲硝唑标准品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250mg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甲硝唑-D4同位素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1mg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甲醇中苯并（a）芘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甲醇中氯霉素溶液标准物质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大米粉成分分析标准物质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35克/瓶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猪肝成分分析标准物质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35克/瓶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铅单元素标准溶液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汞单元素标准溶液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五价砷标注溶液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三价砷标注溶液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多元素标准溶液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4L/瓶，质谱级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4L/瓶，质谱级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SeaKemGold Agarose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125g/瓶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QuEChERS 分散式固相萃取试剂盒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QuEChERS 分散式固相萃取试剂盒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QuEChERS 分散式固相萃取试剂盒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QuEChERS 分散式固相萃取试剂盒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9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新冠病毒核酸检测质控品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浓度为1.0</w:t>
            </w:r>
            <w:r>
              <w:rPr>
                <w:rStyle w:val="font61"/>
                <w:rFonts w:hint="default"/>
                <w:sz w:val="21"/>
                <w:szCs w:val="21"/>
                <w:lang w:bidi="ar"/>
              </w:rPr>
              <w:t>×10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3</w:t>
            </w:r>
            <w:r>
              <w:rPr>
                <w:rStyle w:val="font11"/>
                <w:rFonts w:hint="eastAsia"/>
                <w:sz w:val="21"/>
                <w:szCs w:val="21"/>
                <w:lang w:bidi="ar"/>
              </w:rPr>
              <w:t>拷贝，20支/盒，液态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5盒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C4047">
        <w:trPr>
          <w:trHeight w:val="5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五种致泻性大肠普通PCR试剂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50份/盒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A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4盒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047" w:rsidRDefault="009C4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9C4047" w:rsidRDefault="009C4047"/>
    <w:sectPr w:rsidR="009C404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51" w:rsidRDefault="00FE0A51">
      <w:r>
        <w:separator/>
      </w:r>
    </w:p>
  </w:endnote>
  <w:endnote w:type="continuationSeparator" w:id="0">
    <w:p w:rsidR="00FE0A51" w:rsidRDefault="00F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DB" w:rsidRDefault="00A86FDB">
    <w:pPr>
      <w:pStyle w:val="A7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51" w:rsidRDefault="00FE0A51">
      <w:r>
        <w:separator/>
      </w:r>
    </w:p>
  </w:footnote>
  <w:footnote w:type="continuationSeparator" w:id="0">
    <w:p w:rsidR="00FE0A51" w:rsidRDefault="00FE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DB" w:rsidRDefault="00A86FDB">
    <w:pPr>
      <w:pStyle w:val="a6"/>
      <w:framePr w:wrap="auto" w:yAlign="inli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矩形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6" cy="1314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86FDB" w:rsidRDefault="00A86FDB">
                          <w:pPr>
                            <w:pStyle w:val="10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left:295.35pt;margin-top:774.3pt;height:10.35pt;width:4.55pt;mso-position-horizontal-relative:page;mso-position-vertical-relative:page;z-index:-251656192;mso-width-relative:page;mso-height-relative:page;" filled="f" stroked="f" coordsize="21600,21600" o:gfxdata="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jPGtdgAAAANAQAADwAAAAAAAAABACAAAAAiAAAAZHJzL2Rvd25yZXYueG1sUEsB&#10;AhQAFAAAAAgAh07iQC5FDoH1AQAA4QMAAA4AAAAAAAAAAQAgAAAAJwEAAGRycy9lMm9Eb2MueG1s&#10;UEsFBgAAAAAGAAYAWQEAAI4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9833610</wp:posOffset>
              </wp:positionV>
              <wp:extent cx="133985" cy="153035"/>
              <wp:effectExtent l="0" t="0" r="0" b="0"/>
              <wp:wrapNone/>
              <wp:docPr id="1073741826" name="矩形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6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86FDB" w:rsidRDefault="00A86FDB">
                          <w:pPr>
                            <w:pStyle w:val="A7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D623B">
                            <w:rPr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73741826" o:spid="_x0000_s1027" style="position:absolute;margin-left:292.35pt;margin-top:774.3pt;width:10.55pt;height:12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" filled="f" stroked="f" strokeweight="1pt">
              <v:stroke miterlimit="4"/>
              <v:textbox inset="0,0,0,0">
                <w:txbxContent>
                  <w:p w:rsidR="00A86FDB" w:rsidRDefault="00A86FDB">
                    <w:pPr>
                      <w:pStyle w:val="A7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3D623B">
                      <w:rPr>
                        <w:noProof/>
                        <w:sz w:val="18"/>
                        <w:szCs w:val="18"/>
                      </w:rPr>
                      <w:t>14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1F61"/>
    <w:multiLevelType w:val="singleLevel"/>
    <w:tmpl w:val="7CAA1F61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7"/>
    <w:rsid w:val="003D623B"/>
    <w:rsid w:val="009C4047"/>
    <w:rsid w:val="00A86FDB"/>
    <w:rsid w:val="00FE0A51"/>
    <w:rsid w:val="0A5F37EC"/>
    <w:rsid w:val="0CA61FF5"/>
    <w:rsid w:val="21925BA0"/>
    <w:rsid w:val="44371122"/>
    <w:rsid w:val="44D01588"/>
    <w:rsid w:val="48C079DA"/>
    <w:rsid w:val="6413282E"/>
    <w:rsid w:val="72461575"/>
    <w:rsid w:val="7D4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8">
    <w:name w:val="header"/>
    <w:basedOn w:val="a"/>
    <w:link w:val="Char"/>
    <w:rsid w:val="00A86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86FD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A86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A86FD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8">
    <w:name w:val="header"/>
    <w:basedOn w:val="a"/>
    <w:link w:val="Char"/>
    <w:rsid w:val="00A86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86FD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A86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A86F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2014-10-29T12:08:00Z</dcterms:created>
  <dcterms:modified xsi:type="dcterms:W3CDTF">2021-07-09T07:55:00Z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0F5AE203AEAE4099A71EF2E11BEA2470</vt:lpwstr>
  </property>
</Properties>
</file>